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hanging="3"/>
        <w:jc w:val="center"/>
        <w:rPr>
          <w:rFonts w:ascii="Verdana" w:hAnsi="Verdana" w:eastAsia="Verdana" w:cs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 w:eastAsia="Verdana" w:cs="Verdana"/>
          <w:b/>
          <w:sz w:val="26"/>
          <w:szCs w:val="26"/>
        </w:rPr>
        <w:t>EQUIVALÊNCIAS ENTRE COMPONENTES CURRICULARES E APROVEITAMENTO DE ESTUDOS (EE)</w:t>
      </w:r>
    </w:p>
    <w:p>
      <w:pPr>
        <w:ind w:left="1" w:hanging="3"/>
        <w:rPr>
          <w:rFonts w:ascii="Verdana" w:hAnsi="Verdana" w:eastAsia="Verdana" w:cs="Verdana"/>
          <w:sz w:val="26"/>
          <w:szCs w:val="26"/>
        </w:rPr>
      </w:pPr>
    </w:p>
    <w:tbl>
      <w:tblPr>
        <w:tblStyle w:val="29"/>
        <w:tblW w:w="15115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3"/>
        <w:gridCol w:w="1695"/>
        <w:gridCol w:w="2565"/>
        <w:gridCol w:w="1950"/>
        <w:gridCol w:w="41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TURNO/GRAU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</w:tbl>
    <w:p>
      <w:pPr>
        <w:ind w:left="0" w:hanging="2"/>
      </w:pPr>
      <w:r>
        <w:tab/>
      </w:r>
      <w:r>
        <w:tab/>
      </w:r>
      <w:r>
        <w:tab/>
      </w:r>
      <w:r>
        <w:tab/>
      </w:r>
    </w:p>
    <w:p>
      <w:pPr>
        <w:ind w:left="0" w:hanging="2"/>
        <w:rPr>
          <w:b/>
        </w:rPr>
      </w:pPr>
    </w:p>
    <w:p>
      <w:pPr>
        <w:ind w:left="0" w:hanging="2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rPr>
          <w:rFonts w:ascii="Comfortaa" w:hAnsi="Comfortaa" w:eastAsia="Comfortaa" w:cs="Comfortaa"/>
          <w:b/>
        </w:rPr>
        <w:t xml:space="preserve">                    </w:t>
      </w:r>
      <w:r>
        <w:rPr>
          <w:rFonts w:ascii="Verdana" w:hAnsi="Verdana" w:eastAsia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hAnsi="Verdana" w:eastAsia="Verdana" w:cs="Verdana"/>
          <w:b/>
          <w:sz w:val="26"/>
          <w:szCs w:val="26"/>
          <w:vertAlign w:val="superscript"/>
        </w:rPr>
        <w:t>1</w:t>
      </w:r>
    </w:p>
    <w:p>
      <w:pPr>
        <w:ind w:left="0" w:hanging="2"/>
        <w:rPr>
          <w:b/>
        </w:rPr>
      </w:pPr>
    </w:p>
    <w:tbl>
      <w:tblPr>
        <w:tblStyle w:val="30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9" w:hRule="atLeast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COMPONENTES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COMPONENTES QUE SERÃO INCLUÍDOS NO HISTÓRICO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>
      <w:pPr>
        <w:ind w:left="0" w:hanging="2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hAnsi="Verdana" w:eastAsia="Verdana" w:cs="Verdana"/>
          <w:b/>
          <w:sz w:val="26"/>
          <w:szCs w:val="26"/>
        </w:rPr>
        <w:t>APROVEITAMENTO DE ESTUDOS (Equivalência externa)</w:t>
      </w:r>
      <w:r>
        <w:rPr>
          <w:rFonts w:ascii="Verdana" w:hAnsi="Verdana" w:eastAsia="Verdana" w:cs="Verdana"/>
          <w:b/>
          <w:sz w:val="26"/>
          <w:szCs w:val="26"/>
          <w:vertAlign w:val="superscript"/>
        </w:rPr>
        <w:t>2</w:t>
      </w:r>
    </w:p>
    <w:p>
      <w:pPr>
        <w:ind w:left="1" w:hanging="3"/>
        <w:jc w:val="center"/>
        <w:rPr>
          <w:rFonts w:ascii="Verdana" w:hAnsi="Verdana" w:eastAsia="Verdana" w:cs="Verdana"/>
          <w:b/>
          <w:sz w:val="26"/>
          <w:szCs w:val="26"/>
          <w:vertAlign w:val="superscript"/>
        </w:rPr>
      </w:pPr>
    </w:p>
    <w:tbl>
      <w:tblPr>
        <w:tblStyle w:val="31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  <w:tblHeader/>
        </w:trPr>
        <w:tc>
          <w:tcPr>
            <w:tcW w:w="7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INSTITUIÇÃO ONDE FORAM CURSADOS OS COMPONENTES: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b/>
                <w:sz w:val="20"/>
                <w:szCs w:val="20"/>
              </w:rPr>
            </w:pP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both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COMPONENTES QUE SERÃO INCLUÍDOS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NO HISTÓRICO NA UFSJ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>
      <w:pPr>
        <w:ind w:left="0" w:hanging="2"/>
        <w:rPr>
          <w:sz w:val="20"/>
          <w:szCs w:val="20"/>
        </w:rPr>
      </w:pPr>
    </w:p>
    <w:p>
      <w:pPr>
        <w:ind w:left="0" w:hanging="2"/>
        <w:rPr>
          <w:b/>
        </w:rPr>
      </w:pPr>
      <w:r>
        <w:rPr>
          <w:sz w:val="20"/>
          <w:szCs w:val="20"/>
        </w:rPr>
        <w:t>Data: ______/_________/_______</w:t>
      </w:r>
      <w:r>
        <w:t xml:space="preserve">.                                                                                                            </w:t>
      </w:r>
      <w:r>
        <w:rPr>
          <w:b/>
        </w:rPr>
        <w:t xml:space="preserve"> _______________________________</w:t>
      </w:r>
    </w:p>
    <w:p>
      <w:pPr>
        <w:ind w:left="0" w:hanging="2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Assinatura </w:t>
      </w:r>
    </w:p>
    <w:p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Coordenador (a) do curso                                                                                                                         </w:t>
      </w:r>
    </w:p>
    <w:sectPr>
      <w:headerReference r:id="rId5" w:type="default"/>
      <w:footerReference r:id="rId6" w:type="default"/>
      <w:pgSz w:w="16834" w:h="11909" w:orient="landscape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mfort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1"/>
      </w:numPr>
      <w:spacing w:line="240" w:lineRule="auto"/>
      <w:ind w:left="0" w:hanging="2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color w:val="000000"/>
        <w:sz w:val="16"/>
        <w:szCs w:val="16"/>
      </w:rPr>
      <w:t>Art. 2° da Resolução Conep/UFSJ n. 11, de 25/05/2022.</w:t>
    </w:r>
  </w:p>
  <w:p>
    <w:pPr>
      <w:numPr>
        <w:ilvl w:val="0"/>
        <w:numId w:val="1"/>
      </w:numPr>
      <w:spacing w:line="240" w:lineRule="auto"/>
      <w:ind w:left="0" w:hanging="2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color w:val="000000"/>
        <w:sz w:val="16"/>
        <w:szCs w:val="16"/>
      </w:rPr>
      <w:t>Art. 3° da Resolução Conep/UFSJ n. 11, de 25/05/2022.</w:t>
    </w:r>
  </w:p>
  <w:p>
    <w:pPr>
      <w:spacing w:line="240" w:lineRule="auto"/>
      <w:ind w:left="0" w:hanging="2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 xml:space="preserve">              </w:t>
    </w:r>
    <w:r>
      <w:rPr>
        <w:rFonts w:ascii="Tahoma" w:hAnsi="Tahoma" w:eastAsia="Tahoma" w:cs="Tahoma"/>
        <w:color w:val="000000"/>
        <w:sz w:val="16"/>
        <w:szCs w:val="16"/>
      </w:rPr>
      <w:t xml:space="preserve">Resolução Conep/UFSJ n. 11, de 25/05/2022-  Disponível em </w:t>
    </w:r>
    <w:r>
      <w:fldChar w:fldCharType="begin"/>
    </w:r>
    <w:r>
      <w:instrText xml:space="preserve"> HYPERLINK "https://sig.ufsj.edu.br/sigrh/public/colegiados/resolucoes.jsf" \h </w:instrText>
    </w:r>
    <w:r>
      <w:fldChar w:fldCharType="separate"/>
    </w:r>
    <w:r>
      <w:rPr>
        <w:rFonts w:ascii="Tahoma" w:hAnsi="Tahoma" w:eastAsia="Tahoma" w:cs="Tahoma"/>
        <w:color w:val="0000FF"/>
        <w:sz w:val="16"/>
        <w:szCs w:val="16"/>
        <w:u w:val="single"/>
      </w:rPr>
      <w:t>https://sig.ufsj.edu.br/sigrh/public/colegiados/resolucoes.jsf</w:t>
    </w:r>
    <w:r>
      <w:rPr>
        <w:rFonts w:ascii="Tahoma" w:hAnsi="Tahoma" w:eastAsia="Tahoma" w:cs="Tahoma"/>
        <w:color w:val="0000FF"/>
        <w:sz w:val="16"/>
        <w:szCs w:val="16"/>
        <w:u w:val="single"/>
      </w:rPr>
      <w:fldChar w:fldCharType="end"/>
    </w:r>
    <w:r>
      <w:rPr>
        <w:rFonts w:ascii="Tahoma" w:hAnsi="Tahoma" w:eastAsia="Tahoma" w:cs="Tahoma"/>
        <w:color w:val="000000"/>
        <w:sz w:val="16"/>
        <w:szCs w:val="16"/>
      </w:rPr>
      <w:t xml:space="preserve"> </w:t>
    </w:r>
  </w:p>
  <w:p>
    <w:pPr>
      <w:spacing w:line="240" w:lineRule="auto"/>
      <w:rPr>
        <w:rFonts w:ascii="Times New Roman" w:hAnsi="Times New Roman" w:eastAsia="Times New Roman" w:cs="Times New Roman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  <w:ind w:left="-2" w:hanging="2"/>
      </w:pPr>
      <w:r>
        <w:separator/>
      </w:r>
    </w:p>
  </w:footnote>
  <w:footnote w:type="continuationSeparator" w:id="1">
    <w:p>
      <w:pPr>
        <w:spacing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  <w:rPr>
        <w:sz w:val="20"/>
        <w:szCs w:val="20"/>
      </w:rPr>
    </w:pPr>
    <w:r>
      <w:drawing>
        <wp:inline distT="0" distB="0" distL="114300" distR="114300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sz w:val="20"/>
        <w:szCs w:val="20"/>
      </w:rPr>
      <w:t xml:space="preserve">  </w:t>
    </w:r>
  </w:p>
  <w:p>
    <w:pPr>
      <w:ind w:left="0" w:hanging="2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Instituída pela Lei n. 10.425, de 19/04/2002 - DOU de 22/04/2002</w:t>
    </w:r>
  </w:p>
  <w:p>
    <w:pPr>
      <w:ind w:left="0" w:hanging="2"/>
      <w:rPr>
        <w:sz w:val="16"/>
        <w:szCs w:val="16"/>
      </w:rPr>
    </w:pPr>
  </w:p>
  <w:p>
    <w:pPr>
      <w:spacing w:line="360" w:lineRule="auto"/>
      <w:ind w:left="0" w:hanging="2"/>
      <w:jc w:val="both"/>
      <w:rPr>
        <w:rFonts w:ascii="Verdana" w:hAnsi="Verdana" w:eastAsia="Verdana" w:cs="Verdana"/>
      </w:rPr>
    </w:pPr>
    <w:r>
      <w:rPr>
        <w:rFonts w:ascii="Verdana" w:hAnsi="Verdana" w:eastAsia="Verdana" w:cs="Verdana"/>
      </w:rPr>
      <w:t xml:space="preserve">Pró-Reitoria de Ensino de Graduação </w:t>
    </w:r>
  </w:p>
  <w:p>
    <w:pPr>
      <w:spacing w:line="360" w:lineRule="auto"/>
      <w:ind w:left="0" w:hanging="2"/>
      <w:jc w:val="both"/>
      <w:rPr>
        <w:rFonts w:ascii="Verdana" w:hAnsi="Verdana" w:eastAsia="Verdana" w:cs="Verdana"/>
        <w:sz w:val="24"/>
        <w:szCs w:val="24"/>
      </w:rPr>
    </w:pPr>
    <w:r>
      <w:rPr>
        <w:rFonts w:ascii="Verdana" w:hAnsi="Verdana" w:eastAsia="Verdana" w:cs="Verdana"/>
        <w:b/>
        <w:sz w:val="24"/>
        <w:szCs w:val="24"/>
      </w:rPr>
      <w:t>DIVISÃO DE ACOMPANHAMENTO E CONTROLE ACADÊMICO</w:t>
    </w:r>
    <w:r>
      <w:rPr>
        <w:rFonts w:ascii="Verdana" w:hAnsi="Verdana" w:eastAsia="Verdana" w:cs="Verdana"/>
        <w:sz w:val="24"/>
        <w:szCs w:val="24"/>
      </w:rPr>
      <w:t xml:space="preserve">  - </w:t>
    </w:r>
    <w:r>
      <w:rPr>
        <w:rFonts w:ascii="Verdana" w:hAnsi="Verdana" w:eastAsia="Verdana" w:cs="Verdana"/>
        <w:b/>
        <w:sz w:val="24"/>
        <w:szCs w:val="24"/>
      </w:rPr>
      <w:t>DICON</w:t>
    </w:r>
  </w:p>
  <w:p>
    <w:pPr>
      <w:spacing w:line="360" w:lineRule="auto"/>
      <w:ind w:left="0" w:hanging="2"/>
      <w:jc w:val="both"/>
      <w:rPr>
        <w:rFonts w:ascii="Verdana" w:hAnsi="Verdana" w:eastAsia="Verdana" w:cs="Verdana"/>
        <w:sz w:val="24"/>
        <w:szCs w:val="24"/>
      </w:rPr>
    </w:pPr>
    <w:r>
      <w:rPr>
        <w:rFonts w:ascii="Verdana" w:hAnsi="Verdana" w:eastAsia="Verdana" w:cs="Verdana"/>
        <w:sz w:val="24"/>
        <w:szCs w:val="24"/>
      </w:rPr>
      <w:t>___________________________________________________________________________________________</w:t>
    </w:r>
  </w:p>
  <w:p>
    <w:pPr>
      <w:ind w:left="0" w:hanging="2"/>
      <w:jc w:val="both"/>
      <w:rPr>
        <w:rFonts w:ascii="Verdana" w:hAnsi="Verdana" w:eastAsia="Verdana" w:cs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86"/>
    <w:rsid w:val="00947E86"/>
    <w:rsid w:val="00BC6827"/>
    <w:rsid w:val="1B0F14B6"/>
    <w:rsid w:val="21F3145C"/>
    <w:rsid w:val="506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  <w:spacing w:line="276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zh-CN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uiPriority w:val="0"/>
    <w:pPr>
      <w:suppressAutoHyphens/>
      <w:spacing w:before="100" w:beforeAutospacing="1" w:after="100" w:afterAutospacing="1" w:line="1" w:lineRule="atLeast"/>
      <w:ind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4"/>
      <w:lang w:val="en-US" w:eastAsia="zh-CN" w:bidi="zh-CN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ítulo 1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customStyle="1" w:styleId="17">
    <w:name w:val="Título 21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18">
    <w:name w:val="Título 31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19">
    <w:name w:val="Título 41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20">
    <w:name w:val="Título 51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customStyle="1" w:styleId="21">
    <w:name w:val="Título 61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22">
    <w:name w:val="Tabela normal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Título1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customStyle="1" w:styleId="24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25">
    <w:name w:val="Subtítulo1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12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8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9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3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</Words>
  <Characters>1188</Characters>
  <Lines>9</Lines>
  <Paragraphs>2</Paragraphs>
  <TotalTime>4</TotalTime>
  <ScaleCrop>false</ScaleCrop>
  <LinksUpToDate>false</LinksUpToDate>
  <CharactersWithSpaces>1405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2023-10-04T11:45:00Z</dcterms:created>
  <dc:creator>user</dc:creator>
  <cp:lastModifiedBy>haninhafabreu</cp:lastModifiedBy>
  <dcterms:modified xsi:type="dcterms:W3CDTF">2023-10-06T15:01:59Z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F166A85B8DAD4E88865FBD5DC1505954_13</vt:lpwstr>
  </property>
</Properties>
</file>